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9A629E" w:rsidRDefault="00E02660" w:rsidP="00647411">
      <w:pPr>
        <w:jc w:val="center"/>
        <w:rPr>
          <w:rFonts w:ascii="Arial" w:hAnsi="Arial" w:cs="Arial"/>
          <w:b/>
          <w:sz w:val="28"/>
          <w:szCs w:val="28"/>
          <w:lang w:val="en-IE"/>
        </w:rPr>
      </w:pPr>
      <w:bookmarkStart w:id="0" w:name="_GoBack"/>
      <w:bookmarkEnd w:id="0"/>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0D568678"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w:t>
      </w:r>
      <w:r w:rsidR="009F654B">
        <w:rPr>
          <w:rStyle w:val="Strong"/>
          <w:rFonts w:ascii="Arial" w:hAnsi="Arial" w:cs="Arial"/>
          <w:sz w:val="36"/>
          <w:szCs w:val="36"/>
        </w:rPr>
        <w:t>Support</w:t>
      </w:r>
      <w:r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Groups will also be able to use the funding to carry out necessary repairs and improvements to their facilities, purchase </w:t>
      </w:r>
      <w:proofErr w:type="gramStart"/>
      <w:r w:rsidRPr="009A629E">
        <w:rPr>
          <w:rStyle w:val="Strong"/>
          <w:rFonts w:ascii="Arial" w:hAnsi="Arial" w:cs="Arial"/>
          <w:b w:val="0"/>
          <w:szCs w:val="24"/>
        </w:rPr>
        <w:t>equipment  for</w:t>
      </w:r>
      <w:proofErr w:type="gramEnd"/>
      <w:r w:rsidRPr="009A629E">
        <w:rPr>
          <w:rStyle w:val="Strong"/>
          <w:rFonts w:ascii="Arial" w:hAnsi="Arial" w:cs="Arial"/>
          <w:b w:val="0"/>
          <w:szCs w:val="24"/>
        </w:rPr>
        <w:t xml:space="preserve">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524476EF" w14:textId="77777777"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lastRenderedPageBreak/>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14A0E820"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 xml:space="preserve">to </w:t>
      </w:r>
      <w:r w:rsidR="002470C7">
        <w:rPr>
          <w:rFonts w:ascii="Arial" w:hAnsi="Arial" w:cs="Arial"/>
          <w:szCs w:val="24"/>
          <w:lang w:val="en-IE"/>
        </w:rPr>
        <w:t>Cora Nolan, Kilkenny County Council, Community Department, Johns Green House, Johns Green, Kilkenny before Friday 31</w:t>
      </w:r>
      <w:r w:rsidR="002470C7" w:rsidRPr="002470C7">
        <w:rPr>
          <w:rFonts w:ascii="Arial" w:hAnsi="Arial" w:cs="Arial"/>
          <w:szCs w:val="24"/>
          <w:vertAlign w:val="superscript"/>
          <w:lang w:val="en-IE"/>
        </w:rPr>
        <w:t>st</w:t>
      </w:r>
      <w:r w:rsidR="002470C7">
        <w:rPr>
          <w:rFonts w:ascii="Arial" w:hAnsi="Arial" w:cs="Arial"/>
          <w:szCs w:val="24"/>
          <w:lang w:val="en-IE"/>
        </w:rPr>
        <w:t xml:space="preserve"> March at 12.00noon. </w:t>
      </w: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r w:rsidR="000018B6" w:rsidRPr="009A629E">
        <w:rPr>
          <w:rStyle w:val="Strong"/>
          <w:rFonts w:ascii="Arial" w:hAnsi="Arial" w:cs="Arial"/>
          <w:b w:val="0"/>
        </w:rPr>
        <w:t>e.g.</w:t>
      </w:r>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263DA9E0" w:rsidR="00954C4A" w:rsidRDefault="00954C4A" w:rsidP="006E5E27">
      <w:pPr>
        <w:spacing w:after="150"/>
        <w:jc w:val="both"/>
        <w:rPr>
          <w:rFonts w:ascii="Arial" w:hAnsi="Arial" w:cs="Arial"/>
          <w:szCs w:val="24"/>
        </w:rPr>
      </w:pPr>
      <w:r w:rsidRPr="009A629E">
        <w:rPr>
          <w:rFonts w:ascii="Arial" w:hAnsi="Arial" w:cs="Arial"/>
          <w:szCs w:val="24"/>
        </w:rPr>
        <w:lastRenderedPageBreak/>
        <w:t xml:space="preserve">To ensure appropriate monitoring and governance, the Department is stating that </w:t>
      </w:r>
      <w:r w:rsidR="00987E4E">
        <w:rPr>
          <w:rFonts w:ascii="Arial" w:hAnsi="Arial" w:cs="Arial"/>
          <w:szCs w:val="24"/>
        </w:rPr>
        <w:t>energy/</w:t>
      </w:r>
      <w:r w:rsidR="00507E52" w:rsidRPr="009A629E">
        <w:rPr>
          <w:rFonts w:ascii="Arial" w:hAnsi="Arial" w:cs="Arial"/>
          <w:szCs w:val="24"/>
        </w:rPr>
        <w:t xml:space="preserve">operating/running </w:t>
      </w:r>
      <w:r w:rsidRPr="009A629E">
        <w:rPr>
          <w:rFonts w:ascii="Arial" w:hAnsi="Arial" w:cs="Arial"/>
          <w:szCs w:val="24"/>
        </w:rPr>
        <w:t xml:space="preserve">costs </w:t>
      </w:r>
      <w:r w:rsidR="00924C22">
        <w:rPr>
          <w:rFonts w:ascii="Arial" w:hAnsi="Arial" w:cs="Arial"/>
          <w:szCs w:val="24"/>
        </w:rPr>
        <w:t>incurred in the</w:t>
      </w:r>
      <w:r w:rsidR="00507E52" w:rsidRPr="009A629E">
        <w:rPr>
          <w:rFonts w:ascii="Arial" w:hAnsi="Arial" w:cs="Arial"/>
          <w:szCs w:val="24"/>
        </w:rPr>
        <w:t xml:space="preserve"> period </w:t>
      </w:r>
      <w:r w:rsidR="002470C7">
        <w:rPr>
          <w:rFonts w:ascii="Arial" w:hAnsi="Arial" w:cs="Arial"/>
          <w:szCs w:val="24"/>
        </w:rPr>
        <w:t>1</w:t>
      </w:r>
      <w:r w:rsidR="002470C7" w:rsidRPr="002470C7">
        <w:rPr>
          <w:rFonts w:ascii="Arial" w:hAnsi="Arial" w:cs="Arial"/>
          <w:szCs w:val="24"/>
          <w:vertAlign w:val="superscript"/>
        </w:rPr>
        <w:t>st</w:t>
      </w:r>
      <w:r w:rsidR="002470C7">
        <w:rPr>
          <w:rFonts w:ascii="Arial" w:hAnsi="Arial" w:cs="Arial"/>
          <w:szCs w:val="24"/>
        </w:rPr>
        <w:t xml:space="preserve"> April 2022</w:t>
      </w:r>
      <w:r w:rsidR="00507E52" w:rsidRPr="009A629E">
        <w:rPr>
          <w:rFonts w:ascii="Arial" w:hAnsi="Arial" w:cs="Arial"/>
          <w:szCs w:val="24"/>
        </w:rPr>
        <w:t xml:space="preserve"> to 3</w:t>
      </w:r>
      <w:r w:rsidR="009F654B">
        <w:rPr>
          <w:rFonts w:ascii="Arial" w:hAnsi="Arial" w:cs="Arial"/>
          <w:szCs w:val="24"/>
        </w:rPr>
        <w:t>1</w:t>
      </w:r>
      <w:r w:rsidR="009F654B" w:rsidRPr="009F654B">
        <w:rPr>
          <w:rFonts w:ascii="Arial" w:hAnsi="Arial" w:cs="Arial"/>
          <w:szCs w:val="24"/>
          <w:vertAlign w:val="superscript"/>
        </w:rPr>
        <w:t>st</w:t>
      </w:r>
      <w:r w:rsidR="009F654B">
        <w:rPr>
          <w:rFonts w:ascii="Arial" w:hAnsi="Arial" w:cs="Arial"/>
          <w:szCs w:val="24"/>
        </w:rPr>
        <w:t xml:space="preserve"> </w:t>
      </w:r>
      <w:r w:rsidR="002470C7">
        <w:rPr>
          <w:rFonts w:ascii="Arial" w:hAnsi="Arial" w:cs="Arial"/>
          <w:szCs w:val="24"/>
        </w:rPr>
        <w:t>March 2023</w:t>
      </w:r>
      <w:r w:rsidR="00924C22">
        <w:rPr>
          <w:rFonts w:ascii="Arial" w:hAnsi="Arial" w:cs="Arial"/>
          <w:szCs w:val="24"/>
        </w:rPr>
        <w:t xml:space="preserve"> are eligible</w:t>
      </w:r>
      <w:r w:rsidR="003F601B">
        <w:rPr>
          <w:rFonts w:ascii="Arial" w:hAnsi="Arial" w:cs="Arial"/>
          <w:szCs w:val="24"/>
        </w:rPr>
        <w:t>.</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0397C0A5" w:rsidR="00092751" w:rsidRPr="002470C7" w:rsidRDefault="00D91BAE" w:rsidP="002470C7">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0C0894C7" w14:textId="6FC63821" w:rsidR="00380D6E" w:rsidRPr="000C4C69" w:rsidRDefault="002800A2" w:rsidP="002470C7">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proofErr w:type="gramStart"/>
      <w:r w:rsidR="0096160D" w:rsidRPr="006D59E3">
        <w:rPr>
          <w:rFonts w:ascii="Arial" w:hAnsi="Arial" w:cs="Arial"/>
        </w:rPr>
        <w:t xml:space="preserve">disadvantage </w:t>
      </w:r>
      <w:r w:rsidRPr="00BD7E8A">
        <w:rPr>
          <w:rFonts w:ascii="Arial" w:hAnsi="Arial" w:cs="Arial"/>
          <w:color w:val="auto"/>
        </w:rPr>
        <w:t>.</w:t>
      </w:r>
      <w:proofErr w:type="gramEnd"/>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w:t>
      </w:r>
      <w:r w:rsidRPr="004D3CB9">
        <w:rPr>
          <w:szCs w:val="24"/>
        </w:rPr>
        <w:lastRenderedPageBreak/>
        <w:t xml:space="preserve">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lastRenderedPageBreak/>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415C61CC" w14:textId="52354692" w:rsidR="00957245" w:rsidRDefault="002470C7" w:rsidP="00957245">
      <w:pPr>
        <w:tabs>
          <w:tab w:val="left" w:pos="0"/>
          <w:tab w:val="right" w:pos="8901"/>
        </w:tabs>
        <w:rPr>
          <w:rFonts w:ascii="Arial" w:hAnsi="Arial" w:cs="Arial"/>
          <w:b/>
          <w:szCs w:val="24"/>
          <w:lang w:eastAsia="en-IE"/>
        </w:rPr>
      </w:pPr>
      <w:r>
        <w:rPr>
          <w:rFonts w:ascii="Arial" w:hAnsi="Arial" w:cs="Arial"/>
          <w:b/>
          <w:szCs w:val="24"/>
          <w:lang w:eastAsia="en-IE"/>
        </w:rPr>
        <w:t>Cora Nolan,</w:t>
      </w:r>
    </w:p>
    <w:p w14:paraId="60E14221" w14:textId="0EAB4994" w:rsidR="002470C7" w:rsidRDefault="002470C7" w:rsidP="00957245">
      <w:pPr>
        <w:tabs>
          <w:tab w:val="left" w:pos="0"/>
          <w:tab w:val="right" w:pos="8901"/>
        </w:tabs>
        <w:rPr>
          <w:rFonts w:ascii="Arial" w:hAnsi="Arial" w:cs="Arial"/>
          <w:b/>
          <w:i/>
          <w:szCs w:val="24"/>
          <w:lang w:eastAsia="en-IE"/>
        </w:rPr>
      </w:pPr>
      <w:r>
        <w:rPr>
          <w:rFonts w:ascii="Arial" w:hAnsi="Arial" w:cs="Arial"/>
          <w:b/>
          <w:i/>
          <w:szCs w:val="24"/>
          <w:lang w:eastAsia="en-IE"/>
        </w:rPr>
        <w:t>Kilkenny County Council,</w:t>
      </w:r>
    </w:p>
    <w:p w14:paraId="5C3265DE" w14:textId="688E7F6B" w:rsidR="002470C7" w:rsidRDefault="002470C7" w:rsidP="00957245">
      <w:pPr>
        <w:tabs>
          <w:tab w:val="left" w:pos="0"/>
          <w:tab w:val="right" w:pos="8901"/>
        </w:tabs>
        <w:rPr>
          <w:rFonts w:ascii="Arial" w:hAnsi="Arial" w:cs="Arial"/>
          <w:b/>
          <w:i/>
          <w:szCs w:val="24"/>
          <w:lang w:eastAsia="en-IE"/>
        </w:rPr>
      </w:pPr>
      <w:r>
        <w:rPr>
          <w:rFonts w:ascii="Arial" w:hAnsi="Arial" w:cs="Arial"/>
          <w:b/>
          <w:i/>
          <w:szCs w:val="24"/>
          <w:lang w:eastAsia="en-IE"/>
        </w:rPr>
        <w:t>Community Department,</w:t>
      </w:r>
    </w:p>
    <w:p w14:paraId="3DBB2089" w14:textId="007C99F9" w:rsidR="002470C7" w:rsidRDefault="002470C7" w:rsidP="00957245">
      <w:pPr>
        <w:tabs>
          <w:tab w:val="left" w:pos="0"/>
          <w:tab w:val="right" w:pos="8901"/>
        </w:tabs>
        <w:rPr>
          <w:rFonts w:ascii="Arial" w:hAnsi="Arial" w:cs="Arial"/>
          <w:b/>
          <w:i/>
          <w:szCs w:val="24"/>
          <w:lang w:eastAsia="en-IE"/>
        </w:rPr>
      </w:pPr>
      <w:r>
        <w:rPr>
          <w:rFonts w:ascii="Arial" w:hAnsi="Arial" w:cs="Arial"/>
          <w:b/>
          <w:i/>
          <w:szCs w:val="24"/>
          <w:lang w:eastAsia="en-IE"/>
        </w:rPr>
        <w:t>Johns Green House,</w:t>
      </w:r>
    </w:p>
    <w:p w14:paraId="472B82D4" w14:textId="49B092E6" w:rsidR="002470C7" w:rsidRDefault="002470C7" w:rsidP="00957245">
      <w:pPr>
        <w:tabs>
          <w:tab w:val="left" w:pos="0"/>
          <w:tab w:val="right" w:pos="8901"/>
        </w:tabs>
        <w:rPr>
          <w:rFonts w:ascii="Arial" w:hAnsi="Arial" w:cs="Arial"/>
          <w:b/>
          <w:i/>
          <w:szCs w:val="24"/>
          <w:lang w:eastAsia="en-IE"/>
        </w:rPr>
      </w:pPr>
      <w:r>
        <w:rPr>
          <w:rFonts w:ascii="Arial" w:hAnsi="Arial" w:cs="Arial"/>
          <w:b/>
          <w:i/>
          <w:szCs w:val="24"/>
          <w:lang w:eastAsia="en-IE"/>
        </w:rPr>
        <w:t>Johns Green,</w:t>
      </w:r>
    </w:p>
    <w:p w14:paraId="16004FC8" w14:textId="7B0362B6" w:rsidR="002470C7" w:rsidRPr="00957245" w:rsidRDefault="002470C7" w:rsidP="00957245">
      <w:pPr>
        <w:tabs>
          <w:tab w:val="left" w:pos="0"/>
          <w:tab w:val="right" w:pos="8901"/>
        </w:tabs>
        <w:rPr>
          <w:rFonts w:ascii="Arial" w:hAnsi="Arial" w:cs="Arial"/>
          <w:b/>
          <w:i/>
          <w:szCs w:val="24"/>
          <w:lang w:eastAsia="en-IE"/>
        </w:rPr>
      </w:pPr>
      <w:r>
        <w:rPr>
          <w:rFonts w:ascii="Arial" w:hAnsi="Arial" w:cs="Arial"/>
          <w:b/>
          <w:i/>
          <w:szCs w:val="24"/>
          <w:lang w:eastAsia="en-IE"/>
        </w:rPr>
        <w:t xml:space="preserve">Kilkenny. </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77185435"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3" w:history="1">
        <w:r w:rsidR="002470C7" w:rsidRPr="002470C7">
          <w:rPr>
            <w:rStyle w:val="Hyperlink"/>
            <w:rFonts w:ascii="Arial" w:hAnsi="Arial" w:cs="Arial"/>
            <w:b/>
            <w:szCs w:val="24"/>
            <w:lang w:eastAsia="en-IE"/>
          </w:rPr>
          <w:t>cora.nolan@kilkennycoco.ie</w:t>
        </w:r>
      </w:hyperlink>
      <w:r w:rsidR="002470C7" w:rsidRPr="002470C7">
        <w:rPr>
          <w:rFonts w:ascii="Arial" w:hAnsi="Arial" w:cs="Arial"/>
          <w:b/>
          <w:szCs w:val="24"/>
          <w:lang w:eastAsia="en-IE"/>
        </w:rPr>
        <w:t xml:space="preserve"> </w:t>
      </w:r>
    </w:p>
    <w:sectPr w:rsidR="00847CDB" w:rsidRPr="009A629E" w:rsidSect="002470C7">
      <w:headerReference w:type="default" r:id="rId14"/>
      <w:footerReference w:type="default" r:id="rId15"/>
      <w:pgSz w:w="12242" w:h="15842" w:code="1"/>
      <w:pgMar w:top="851"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77648"/>
      <w:docPartObj>
        <w:docPartGallery w:val="Page Numbers (Bottom of Page)"/>
        <w:docPartUnique/>
      </w:docPartObj>
    </w:sdtPr>
    <w:sdtEndPr/>
    <w:sdtContent>
      <w:p w14:paraId="6806EC63" w14:textId="39528FAA"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470C7"/>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0CA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5A7E"/>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24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a.nolan@kilkenny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89F82-AF0E-442C-A9E9-5219ED6AA47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B1D0851D-219C-4FC8-8302-230B246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Cora Nolan</cp:lastModifiedBy>
  <cp:revision>2</cp:revision>
  <cp:lastPrinted>2018-05-30T13:50:00Z</cp:lastPrinted>
  <dcterms:created xsi:type="dcterms:W3CDTF">2023-02-16T11:29:00Z</dcterms:created>
  <dcterms:modified xsi:type="dcterms:W3CDTF">2023-02-16T11:29:00Z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